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2023年度稻谷目标价格补贴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农业农村局种植管理股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李宏峻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17873899180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16.38万元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489.53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万元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505.91万元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493.35万元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100.7%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本项目依据省、市政策设有项目实施方案，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100.7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工作实施方案，阳光审批，纪检“大数据监测”比对流程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全面已达成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产出目标，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相关预设绩效指标均已完成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全面完成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效益目标，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所设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经济效益、社会效益、环境效益和可持续影响及服务对象满意度等5个具体绩效指标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全面达成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达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95%以上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无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  项目负责人（签字）： </w:t>
      </w:r>
      <w:r>
        <w:rPr>
          <w:rFonts w:hint="eastAsia" w:ascii="华文中宋" w:hAnsi="华文中宋" w:eastAsia="华文中宋"/>
          <w:szCs w:val="21"/>
        </w:rPr>
        <w:t xml:space="preserve">      </w:t>
      </w:r>
      <w:r>
        <w:rPr>
          <w:rFonts w:ascii="华文中宋" w:hAnsi="华文中宋" w:eastAsia="华文中宋"/>
          <w:szCs w:val="21"/>
        </w:rPr>
        <w:t>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2024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4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12</w:t>
      </w:r>
      <w:r>
        <w:rPr>
          <w:rFonts w:ascii="华文中宋" w:hAnsi="华文中宋" w:eastAsia="华文中宋"/>
          <w:szCs w:val="21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iMDlmZDg5MTBjMzQzY2MzYjI2YmY5ODY4NzkyNDAifQ=="/>
  </w:docVars>
  <w:rsids>
    <w:rsidRoot w:val="2C6A7E1F"/>
    <w:rsid w:val="0356668F"/>
    <w:rsid w:val="163801AD"/>
    <w:rsid w:val="2C6A7E1F"/>
    <w:rsid w:val="73324AE7"/>
    <w:rsid w:val="7849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2024-04-15T00:01:00Z</dcterms:created>
  <dc:creator>欣</dc:creator>
  <cp:lastModifiedBy>不枉.</cp:lastModifiedBy>
  <dcterms:modified xsi:type="dcterms:W3CDTF">2024-04-15T09:11:25Z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E926B5C286054A33BB1255C06EF246B6_11</vt:lpwstr>
  </property>
</Properties>
</file>